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2D133E" w:rsidRPr="002D133E">
        <w:rPr>
          <w:rStyle w:val="Teksttreci2"/>
          <w:rFonts w:cstheme="minorHAnsi"/>
          <w:color w:val="000000"/>
          <w:sz w:val="22"/>
          <w:szCs w:val="22"/>
        </w:rPr>
        <w:t>Zasady przyznawania i wypłaty renty socjalnej oraz świadczenia wspierającego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2D133E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2D133E" w:rsidRPr="002D133E">
        <w:rPr>
          <w:rStyle w:val="Teksttreci2"/>
          <w:rFonts w:cstheme="minorHAnsi"/>
          <w:color w:val="000000"/>
          <w:sz w:val="22"/>
          <w:szCs w:val="22"/>
        </w:rPr>
        <w:t>Zasady przyznawania i wypłaty renty socjalnej oraz świadczenia wspierającego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226FA3"/>
    <w:rsid w:val="00277D8D"/>
    <w:rsid w:val="00284952"/>
    <w:rsid w:val="002D133E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C2264D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3901-AEA3-4C85-9A22-60876986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2024-07-02T08:59:00Z</dcterms:created>
  <dcterms:modified xsi:type="dcterms:W3CDTF">2024-07-02T08:59:00Z</dcterms:modified>
</cp:coreProperties>
</file>