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722E88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722E88">
              <w:rPr>
                <w:rFonts w:ascii="Segoe UI" w:hAnsi="Segoe UI" w:cs="Segoe UI"/>
                <w:sz w:val="24"/>
                <w:szCs w:val="24"/>
                <w:lang w:eastAsia="pl-PL"/>
              </w:rPr>
              <w:t>Zasady ustalania podstawy wymiaru zasiłków dla pracowników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53405E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722E88">
              <w:rPr>
                <w:b/>
                <w:noProof/>
                <w:lang w:eastAsia="pl-PL"/>
              </w:rPr>
              <w:t>18</w:t>
            </w:r>
            <w:r w:rsidR="00222871">
              <w:rPr>
                <w:b/>
                <w:noProof/>
                <w:lang w:eastAsia="pl-PL"/>
              </w:rPr>
              <w:t>.</w:t>
            </w:r>
            <w:r w:rsidR="0053405E">
              <w:rPr>
                <w:b/>
                <w:noProof/>
                <w:lang w:eastAsia="pl-PL"/>
              </w:rPr>
              <w:t>09.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9</cp:revision>
  <dcterms:created xsi:type="dcterms:W3CDTF">2024-04-30T05:56:00Z</dcterms:created>
  <dcterms:modified xsi:type="dcterms:W3CDTF">2024-08-22T07:16:00Z</dcterms:modified>
</cp:coreProperties>
</file>