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1" w:rsidRPr="005F2488" w:rsidRDefault="00E24D61" w:rsidP="0081210E">
      <w:pPr>
        <w:pStyle w:val="Nagwek1"/>
        <w:rPr>
          <w:rFonts w:eastAsia="Times New Roman"/>
        </w:rPr>
      </w:pPr>
      <w:r w:rsidRPr="005F2488">
        <w:rPr>
          <w:rFonts w:eastAsia="Times New Roman"/>
        </w:rPr>
        <w:t>Świadczenie wychowawcze 500+ i Rodzinny Kapitał Opiekuńczy</w:t>
      </w:r>
      <w:r w:rsidR="00D90A09">
        <w:rPr>
          <w:rFonts w:eastAsia="Times New Roman"/>
        </w:rPr>
        <w:t xml:space="preserve"> </w:t>
      </w:r>
      <w:r w:rsidRPr="005F2488">
        <w:rPr>
          <w:rFonts w:eastAsia="Times New Roman"/>
        </w:rPr>
        <w:t xml:space="preserve">Informacja dla obywateli Ukrainy zamieszkałych w Polsce, będących rodzicami 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pStyle w:val="Nagwek2"/>
        <w:rPr>
          <w:rFonts w:eastAsia="Times New Roman"/>
        </w:rPr>
      </w:pPr>
      <w:r w:rsidRPr="005F2488">
        <w:rPr>
          <w:rFonts w:eastAsia="Times New Roman"/>
        </w:rPr>
        <w:t xml:space="preserve">Świadczenie wychowawcze 500+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>Świadczenie wychowawcze rodzic może otrzymać  na każde dziecko do ukończenia przez nie 18 lat, jeśli dziecko wspólnie z nim mieszka oraz pozostaje na jego utrzymaniu.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Prawo do świadczenia wychowawczego ZUS ustala na tzw. okres świadczeniowy, który trwa od 1 czerwca danego roku do 31 maja roku następnego.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>Świadczenie wychowawcze przysługuje w wysokości 500 zł miesięcznie na dziecko.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pStyle w:val="Nagwek2"/>
        <w:rPr>
          <w:rFonts w:eastAsia="Times New Roman"/>
        </w:rPr>
      </w:pPr>
      <w:r w:rsidRPr="005F2488">
        <w:rPr>
          <w:rFonts w:eastAsia="Times New Roman"/>
        </w:rPr>
        <w:t xml:space="preserve">Rodzinny Kapitał Opiekuńczy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Theme="minorHAnsi" w:cs="Calibri"/>
          <w:shd w:val="clear" w:color="auto" w:fill="FFFFFF"/>
          <w:lang w:eastAsia="en-US"/>
        </w:rPr>
      </w:pPr>
      <w:r w:rsidRPr="005F2488">
        <w:rPr>
          <w:rStyle w:val="Pogrubienie"/>
          <w:rFonts w:cs="Calibri"/>
          <w:shd w:val="clear" w:color="auto" w:fill="FFFFFF"/>
        </w:rPr>
        <w:t xml:space="preserve">Rodzinny kapitał opiekuńczy (RKO) można uzyskać na dziecko w wieku od 12-tego  do 35-tego miesiąca życia. </w:t>
      </w:r>
      <w:r w:rsidRPr="005F2488">
        <w:rPr>
          <w:rFonts w:eastAsia="Times New Roman" w:cs="Calibri"/>
        </w:rPr>
        <w:t>Kapitał przysługuje  na drugie i kolejne dziecko w rodzinie, jeśli dziecko wspólnie mieszka oraz jest utrzymywane przez rodzica.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Rodzic  dziecka decyduje czy chce otrzymywać świadczenie w wysokości 500 zł przez 24 miesiące, czy w wysokości 1 000 zł przez 12 miesięcy. Łącznie kwota kapitału wynosi do 12 tys. zł na dziecko.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pStyle w:val="Nagwek2"/>
        <w:rPr>
          <w:rFonts w:eastAsia="Times New Roman"/>
        </w:rPr>
      </w:pPr>
      <w:r w:rsidRPr="005F2488">
        <w:rPr>
          <w:rFonts w:eastAsia="Times New Roman"/>
        </w:rPr>
        <w:t>Kiedy świadczenie 500+ i RKO przysługują obywatelom Ukrainy zamieszkałym w Polsce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Świadczenie wychowawcze i rodzinny kapitał opiekuńczy mogą otrzymać obywatele Ukrainy, którzy zamieszkują na stałe w Polsce. </w:t>
      </w:r>
    </w:p>
    <w:p w:rsidR="00E24D61" w:rsidRPr="005F2488" w:rsidRDefault="00E24D61" w:rsidP="0081210E">
      <w:pPr>
        <w:spacing w:after="0" w:line="240" w:lineRule="auto"/>
        <w:rPr>
          <w:rFonts w:eastAsiaTheme="minorHAnsi" w:cs="Calibri"/>
          <w:color w:val="auto"/>
          <w:lang w:eastAsia="en-US"/>
        </w:rPr>
      </w:pPr>
      <w:r w:rsidRPr="005F2488">
        <w:rPr>
          <w:rFonts w:cs="Calibri"/>
        </w:rPr>
        <w:t>Dokumentem potwierdzającym legalność pobytu i dostęp do rynku pracy w Polsce może być, m.in: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karta pobytu z adnotacją „dostęp do rynku pracy”;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zezwolenie na pobyt stały lub karta stałego pobytu,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decyzja:</w:t>
      </w:r>
    </w:p>
    <w:p w:rsidR="00E24D61" w:rsidRPr="005F2488" w:rsidRDefault="00E24D61" w:rsidP="0081210E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>o przyznaniu statusu uchodźcy,</w:t>
      </w:r>
    </w:p>
    <w:p w:rsidR="00E24D61" w:rsidRPr="005F2488" w:rsidRDefault="00E24D61" w:rsidP="0081210E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>o udzieleniu ochrony uzupełniającej,</w:t>
      </w:r>
    </w:p>
    <w:p w:rsidR="00E24D61" w:rsidRPr="005F2488" w:rsidRDefault="00E24D61" w:rsidP="0081210E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>o udzieleniu zgody na pobyt ze względów humanitarnych</w:t>
      </w:r>
    </w:p>
    <w:p w:rsidR="00E24D61" w:rsidRPr="005F2488" w:rsidRDefault="00E24D61" w:rsidP="0081210E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>o udzieleniu zgody na pobyt tolerowany,</w:t>
      </w:r>
    </w:p>
    <w:p w:rsidR="00E24D61" w:rsidRPr="005F2488" w:rsidRDefault="00E24D61" w:rsidP="0081210E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bookmarkStart w:id="0" w:name="_GoBack"/>
      <w:bookmarkEnd w:id="0"/>
      <w:r w:rsidRPr="005F2488">
        <w:rPr>
          <w:rFonts w:eastAsia="Times New Roman" w:cs="Calibri"/>
        </w:rPr>
        <w:t>o udzieleniu ochrony czasowej w Polsce,</w:t>
      </w:r>
    </w:p>
    <w:p w:rsidR="00E24D61" w:rsidRPr="005F2488" w:rsidRDefault="00E24D61" w:rsidP="0081210E">
      <w:pPr>
        <w:pStyle w:val="Akapitzlist"/>
        <w:spacing w:before="0" w:beforeAutospacing="0" w:after="0" w:afterAutospacing="0"/>
        <w:ind w:left="770"/>
        <w:jc w:val="left"/>
        <w:rPr>
          <w:rFonts w:eastAsiaTheme="minorHAnsi"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lub karta pobytu wydanej na podstawie jednej z ww. decyzji;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 xml:space="preserve">zezwolenie na pobyt czasowy w Polsce wraz z zezwoleniem na pracę wydanym na okres dłuższy niż 6 miesięcy, albo karta pobytu wydana w związku z udzieleniem danego zezwolenia na pobyt czasowy wraz z zezwoleniem na pracę; 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zezwolenie na pobyt czasowy w Polsce lub karta pobytu wydana w związku z udzieleniem danego zezwolenia na pobyt czasowy - w przypadku, gdy rodzaj zezwolenia na pobyt czasowy w Polsce zwalnia cudzoziemca z obowiązku posiadania zezwolenia na pracę; takimi zezwoleniami są np.:</w:t>
      </w:r>
    </w:p>
    <w:p w:rsidR="00E24D61" w:rsidRPr="005F2488" w:rsidRDefault="00E24D61" w:rsidP="0081210E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>zezwolenie na pobyt czasowy dla członka rodziny obywatela polskiego udzielone w związku z pozostawaniem w uznawanym przez prawo polskie związku małżeńskim z obywatelem polskim, wydane na podstawie art. 158 ust. 1 ustawy o cudzoziemcach,</w:t>
      </w:r>
    </w:p>
    <w:p w:rsidR="00E24D61" w:rsidRPr="005F2488" w:rsidRDefault="00E24D61" w:rsidP="0081210E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lastRenderedPageBreak/>
        <w:t>zezwolenie na pobyt czasowy w celu połączenia się z rodziną, wydane na podstawie art. 159 ust. 1 albo art. 161 ust. 2 ustawy o cudzoziemcach,</w:t>
      </w:r>
    </w:p>
    <w:p w:rsidR="00E24D61" w:rsidRPr="005F2488" w:rsidRDefault="00E24D61" w:rsidP="0081210E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zezwolenie na pobyt czasowy ze względu na inne okoliczności, wydane na podstawie art. 186 ust. 1 pkt 3, 4, 7 lub 8 ustawy o cudzoziemcach. 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 xml:space="preserve">zaświadczenie wydane przez Szefa Urzędu ds. Cudzoziemców na podstawie art. 35 ustawy z dnia 13.06.2003 r. o udzielaniu cudzoziemcom ochrony na terytorium Rzeczypospolitej Polskiej wraz z tymczasowym zaświadczeniem tożsamości cudzoziemca; </w:t>
      </w:r>
    </w:p>
    <w:p w:rsidR="00E24D61" w:rsidRPr="005F2488" w:rsidRDefault="00E24D61" w:rsidP="0081210E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cs="Calibri"/>
          <w:sz w:val="22"/>
          <w:szCs w:val="22"/>
        </w:rPr>
      </w:pPr>
      <w:r w:rsidRPr="005F2488">
        <w:rPr>
          <w:rFonts w:cs="Calibri"/>
          <w:sz w:val="22"/>
          <w:szCs w:val="22"/>
        </w:rPr>
        <w:t>karta pobytu wraz z Kartą Polaka;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pStyle w:val="Nagwek2"/>
        <w:rPr>
          <w:rFonts w:eastAsia="Times New Roman"/>
        </w:rPr>
      </w:pPr>
      <w:r w:rsidRPr="005F2488">
        <w:rPr>
          <w:rFonts w:eastAsia="Times New Roman"/>
        </w:rPr>
        <w:t xml:space="preserve">Składanie wniosków o 500+ i rodzinny kapitał opiekuńczy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  <w:color w:val="auto"/>
        </w:rPr>
      </w:pPr>
      <w:r w:rsidRPr="005F2488">
        <w:rPr>
          <w:rFonts w:eastAsia="Times New Roman" w:cs="Calibri"/>
        </w:rPr>
        <w:t xml:space="preserve">Wniosek o świadczenie wychowawcze oraz rodzinny kapitał opiekuńczy można złożyć elektronicznie przez PUE ZUS, portal </w:t>
      </w:r>
      <w:proofErr w:type="spellStart"/>
      <w:r w:rsidRPr="005F2488">
        <w:rPr>
          <w:rFonts w:eastAsia="Times New Roman" w:cs="Calibri"/>
        </w:rPr>
        <w:t>Emp@tia</w:t>
      </w:r>
      <w:proofErr w:type="spellEnd"/>
      <w:r w:rsidRPr="005F2488">
        <w:rPr>
          <w:rFonts w:eastAsia="Times New Roman" w:cs="Calibri"/>
        </w:rPr>
        <w:t xml:space="preserve"> oraz przez bankowość elektroniczną wielu polskich banków.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Rodzic może również w celu złożenia wniosku zgłosić się na salę obsługi klienta placówki ZUS, gdzie uzyska pomoc w wypełnieniu wniosku i jego elektronicznym złożeniu. </w:t>
      </w:r>
    </w:p>
    <w:p w:rsidR="00E24D61" w:rsidRPr="005F2488" w:rsidRDefault="00E24D61" w:rsidP="0081210E">
      <w:pPr>
        <w:shd w:val="clear" w:color="auto" w:fill="FFFFFF"/>
        <w:spacing w:after="0" w:line="240" w:lineRule="auto"/>
        <w:rPr>
          <w:rFonts w:eastAsia="Times New Roman" w:cs="Calibri"/>
        </w:rPr>
      </w:pPr>
      <w:r w:rsidRPr="005F2488">
        <w:rPr>
          <w:rFonts w:eastAsia="Times New Roman" w:cs="Calibri"/>
        </w:rPr>
        <w:t xml:space="preserve">Do wniosku obywatel Ukrainy powinien dołączyć dokument potwierdzający charakter pobytu w Polsce. </w:t>
      </w:r>
    </w:p>
    <w:p w:rsidR="00E24D61" w:rsidRDefault="00E24D61" w:rsidP="0081210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F2488">
        <w:rPr>
          <w:rFonts w:eastAsia="Times New Roman" w:cs="Calibri"/>
        </w:rPr>
        <w:t>Św</w:t>
      </w:r>
      <w:r>
        <w:rPr>
          <w:rFonts w:eastAsia="Times New Roman" w:cstheme="minorHAnsi"/>
        </w:rPr>
        <w:t>iadczenie ZUS wypłaca co miesiąc na wskazany rachunek bankowy.</w:t>
      </w:r>
    </w:p>
    <w:sectPr w:rsidR="00E24D6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57" w:rsidRDefault="00765E57">
      <w:pPr>
        <w:spacing w:after="0" w:line="240" w:lineRule="auto"/>
      </w:pPr>
      <w:r>
        <w:separator/>
      </w:r>
    </w:p>
  </w:endnote>
  <w:endnote w:type="continuationSeparator" w:id="0">
    <w:p w:rsidR="00765E57" w:rsidRDefault="0076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AA" w:rsidRDefault="001B44A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57" w:rsidRDefault="00765E57">
      <w:pPr>
        <w:spacing w:after="0" w:line="240" w:lineRule="auto"/>
      </w:pPr>
      <w:r>
        <w:separator/>
      </w:r>
    </w:p>
  </w:footnote>
  <w:footnote w:type="continuationSeparator" w:id="0">
    <w:p w:rsidR="00765E57" w:rsidRDefault="0076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AA" w:rsidRDefault="001B44A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0.25pt;height:80.25pt;visibility:visible" o:bullet="t">
        <v:imagedata r:id="rId1" o:title="bullet_gbutton_gray"/>
      </v:shape>
    </w:pict>
  </w:numPicBullet>
  <w:abstractNum w:abstractNumId="0">
    <w:nsid w:val="0CC3549C"/>
    <w:multiLevelType w:val="hybridMultilevel"/>
    <w:tmpl w:val="49F22144"/>
    <w:numStyleLink w:val="Zaimportowanystyl2"/>
  </w:abstractNum>
  <w:abstractNum w:abstractNumId="1">
    <w:nsid w:val="1AA85582"/>
    <w:multiLevelType w:val="hybridMultilevel"/>
    <w:tmpl w:val="31B670A6"/>
    <w:styleLink w:val="Obrazek"/>
    <w:lvl w:ilvl="0" w:tplc="05527544">
      <w:start w:val="1"/>
      <w:numFmt w:val="bullet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29564D52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A15838B2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6966E996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C5969B96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51C42A86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CB40DBA4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D6EA836E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83B420B0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">
    <w:nsid w:val="28736B3C"/>
    <w:multiLevelType w:val="hybridMultilevel"/>
    <w:tmpl w:val="49F22144"/>
    <w:styleLink w:val="Zaimportowanystyl2"/>
    <w:lvl w:ilvl="0" w:tplc="A8707E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5FCBDA2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DA964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392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FD228E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CB239E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E56C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1C6782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1BE0EF6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29124244"/>
    <w:multiLevelType w:val="hybridMultilevel"/>
    <w:tmpl w:val="EBBC36B0"/>
    <w:lvl w:ilvl="0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4">
    <w:nsid w:val="2AD856F6"/>
    <w:multiLevelType w:val="multilevel"/>
    <w:tmpl w:val="DA44E8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2DBF2590"/>
    <w:multiLevelType w:val="hybridMultilevel"/>
    <w:tmpl w:val="31B670A6"/>
    <w:numStyleLink w:val="Obrazek"/>
  </w:abstractNum>
  <w:abstractNum w:abstractNumId="6">
    <w:nsid w:val="30A72A18"/>
    <w:multiLevelType w:val="multilevel"/>
    <w:tmpl w:val="3C9E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F004C"/>
    <w:multiLevelType w:val="multilevel"/>
    <w:tmpl w:val="FF4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AA"/>
    <w:rsid w:val="001B44AA"/>
    <w:rsid w:val="0038304D"/>
    <w:rsid w:val="005F2488"/>
    <w:rsid w:val="00670F28"/>
    <w:rsid w:val="00765E57"/>
    <w:rsid w:val="0081210E"/>
    <w:rsid w:val="00881FCA"/>
    <w:rsid w:val="00A9375F"/>
    <w:rsid w:val="00D90A09"/>
    <w:rsid w:val="00E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B5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Obrazek">
    <w:name w:val="Obrazek"/>
    <w:pPr>
      <w:numPr>
        <w:numId w:val="3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4D61"/>
    <w:rPr>
      <w:rFonts w:ascii="Calibri" w:eastAsia="Times New Roman" w:hAnsi="Calibri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24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720"/>
      <w:contextualSpacing/>
      <w:jc w:val="both"/>
    </w:pPr>
    <w:rPr>
      <w:rFonts w:eastAsia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E24D6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D9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Obrazek">
    <w:name w:val="Obrazek"/>
    <w:pPr>
      <w:numPr>
        <w:numId w:val="3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4D61"/>
    <w:rPr>
      <w:rFonts w:ascii="Calibri" w:eastAsia="Times New Roman" w:hAnsi="Calibri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24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720"/>
      <w:contextualSpacing/>
      <w:jc w:val="both"/>
    </w:pPr>
    <w:rPr>
      <w:rFonts w:eastAsia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E24D6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D9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Arkadiusz</dc:creator>
  <cp:lastModifiedBy>Borowska, Anna</cp:lastModifiedBy>
  <cp:revision>7</cp:revision>
  <dcterms:created xsi:type="dcterms:W3CDTF">2022-02-28T10:44:00Z</dcterms:created>
  <dcterms:modified xsi:type="dcterms:W3CDTF">2022-03-02T07:28:00Z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2022-02-28T10:43:11Z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fe08b60a-fca1-45db-bc56-875b3433894b</vt:lpwstr>
  </property>
  <property fmtid="{D5CDD505-2E9C-101B-9397-08002B2CF9AE}" pid="8" name="MSIP_Label_ab83eb73-1339-4c09-b43c-88ef2eea0029_ContentBits">
    <vt:lpwstr>0</vt:lpwstr>
  </property>
</Properties>
</file>