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4E" w:rsidRPr="00FE6DCA" w:rsidRDefault="00675B4E" w:rsidP="00293211">
      <w:pPr>
        <w:pStyle w:val="Nagwek1"/>
        <w:spacing w:after="0" w:line="360" w:lineRule="auto"/>
        <w:rPr>
          <w:rFonts w:cs="Times New Roman"/>
        </w:rPr>
      </w:pPr>
      <w:bookmarkStart w:id="0" w:name="_GoBack"/>
      <w:bookmarkEnd w:id="0"/>
      <w:r w:rsidRPr="00FE6DCA">
        <w:rPr>
          <w:rFonts w:cs="Times New Roman"/>
          <w:b/>
        </w:rPr>
        <w:t xml:space="preserve">Ogłoszenie o przetargu pisemnym nieograniczonym </w:t>
      </w:r>
      <w:r w:rsidR="00BF2328" w:rsidRPr="00FE6DCA">
        <w:rPr>
          <w:rFonts w:cs="Times New Roman"/>
          <w:b/>
        </w:rPr>
        <w:t>na sprzedaż</w:t>
      </w:r>
      <w:r w:rsidR="00BF2328" w:rsidRPr="00FE6DCA">
        <w:rPr>
          <w:rFonts w:cs="Times New Roman"/>
          <w:b/>
        </w:rPr>
        <w:br/>
      </w:r>
      <w:r w:rsidR="00B42BFD" w:rsidRPr="00FE6DCA">
        <w:t>prawa własności lokalu niemieszkalnego nr 1 położonego w Grodzisku Wielkopolskim na Osiedlu Wojska Polskiego 25 wraz z udziałem wynoszącym ½ części w nieruchomości wspólnej, którą stanowi prawo użytkowania wieczystego działki nr 210/3 oraz części budynku i urządzenia, które nie służą wyłącznie do użytku właścicieli lokali.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Organizator przetargu:</w:t>
      </w:r>
    </w:p>
    <w:p w:rsidR="00D63C1F" w:rsidRPr="00A80873" w:rsidRDefault="00B42BFD" w:rsidP="00293211">
      <w:pPr>
        <w:spacing w:after="0" w:line="360" w:lineRule="auto"/>
        <w:rPr>
          <w:rFonts w:cs="Times New Roman"/>
        </w:rPr>
      </w:pPr>
      <w:r w:rsidRPr="00675B4E">
        <w:rPr>
          <w:rFonts w:cstheme="minorHAnsi"/>
        </w:rPr>
        <w:t xml:space="preserve">Dyrektor I Oddziału Zakładu Ubezpieczeń Społecznych w Poznaniu z siedzibą 60-908 Poznań, </w:t>
      </w:r>
      <w:r w:rsidRPr="00675B4E">
        <w:rPr>
          <w:rFonts w:cstheme="minorHAnsi"/>
        </w:rPr>
        <w:br/>
        <w:t>ul. Dąbrowskiego 12</w:t>
      </w:r>
      <w:r w:rsidR="00A80873">
        <w:rPr>
          <w:rFonts w:cs="Times New Roman"/>
        </w:rPr>
        <w:br/>
      </w:r>
      <w:r w:rsidR="00D63C1F" w:rsidRPr="00675B4E">
        <w:t>działający w imieniu:</w:t>
      </w:r>
      <w:r w:rsidR="00A80873">
        <w:br/>
      </w:r>
      <w:r w:rsidR="00D63C1F" w:rsidRPr="00675B4E">
        <w:t>Zakład</w:t>
      </w:r>
      <w:r w:rsidRPr="00675B4E">
        <w:t>u</w:t>
      </w:r>
      <w:r w:rsidR="00D63C1F" w:rsidRPr="00675B4E">
        <w:t xml:space="preserve"> Ubezpieczeń Społecznych z siedzibą w Warszawie</w:t>
      </w:r>
      <w:r w:rsidR="00A80873">
        <w:br/>
      </w:r>
      <w:r w:rsidR="00D63C1F" w:rsidRPr="00675B4E">
        <w:t>ul. Szamocka 3, 5, 01-748 Warszawa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Oznaczenie nieruchomości według ewidencji gruntów i budynków oraz księgi wieczystej:</w:t>
      </w:r>
    </w:p>
    <w:p w:rsidR="00D63C1F" w:rsidRPr="00A80873" w:rsidRDefault="00D63C1F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Budynek, w którym zlokalizowany jest lokal </w:t>
      </w:r>
      <w:r w:rsidR="00B42BFD" w:rsidRPr="00675B4E">
        <w:rPr>
          <w:rFonts w:cs="Times New Roman"/>
        </w:rPr>
        <w:t xml:space="preserve">niemieszkalny nr 1, położony jest na działce                              o nr ewidencyjnym </w:t>
      </w:r>
      <w:r w:rsidR="00B42BFD" w:rsidRPr="00675B4E">
        <w:rPr>
          <w:rFonts w:cstheme="minorHAnsi"/>
        </w:rPr>
        <w:t xml:space="preserve">210/3 </w:t>
      </w:r>
      <w:r w:rsidR="00B42BFD" w:rsidRPr="00675B4E">
        <w:rPr>
          <w:rFonts w:cs="Times New Roman"/>
        </w:rPr>
        <w:t xml:space="preserve">w Grodzisku Wielkopolskim na Osiedlu Wojska Polskiego 25 </w:t>
      </w:r>
      <w:r w:rsidR="00B42BFD" w:rsidRPr="00675B4E">
        <w:rPr>
          <w:rFonts w:cs="Times New Roman"/>
        </w:rPr>
        <w:br/>
        <w:t>w województwie wielkopolskim.</w:t>
      </w:r>
      <w:r w:rsidR="00A80873">
        <w:rPr>
          <w:rFonts w:cs="Times New Roman"/>
        </w:rPr>
        <w:br/>
      </w:r>
      <w:r w:rsidR="00B42BFD" w:rsidRPr="00675B4E">
        <w:rPr>
          <w:rFonts w:cstheme="minorHAnsi"/>
        </w:rPr>
        <w:t>Lokal niemieszkalny nr 1</w:t>
      </w:r>
      <w:r w:rsidR="00B87FC4" w:rsidRPr="00675B4E">
        <w:rPr>
          <w:rFonts w:cstheme="minorHAnsi"/>
        </w:rPr>
        <w:t xml:space="preserve"> o łącznej powierzchni użytkowej z pomieszczeniami przynależnymi </w:t>
      </w:r>
      <w:r w:rsidR="00B87FC4" w:rsidRPr="00675B4E">
        <w:rPr>
          <w:rFonts w:cstheme="minorHAnsi"/>
        </w:rPr>
        <w:br/>
        <w:t>256,10 m</w:t>
      </w:r>
      <w:r w:rsidR="00B87FC4" w:rsidRPr="00675B4E">
        <w:rPr>
          <w:rFonts w:cstheme="minorHAnsi"/>
          <w:vertAlign w:val="superscript"/>
        </w:rPr>
        <w:t>2</w:t>
      </w:r>
      <w:r w:rsidR="00B42BFD" w:rsidRPr="00675B4E">
        <w:rPr>
          <w:rFonts w:cstheme="minorHAnsi"/>
        </w:rPr>
        <w:t xml:space="preserve"> stanowi odrębn</w:t>
      </w:r>
      <w:r w:rsidR="008B2757" w:rsidRPr="00675B4E">
        <w:rPr>
          <w:rFonts w:cstheme="minorHAnsi"/>
        </w:rPr>
        <w:t>ą</w:t>
      </w:r>
      <w:r w:rsidR="00B42BFD" w:rsidRPr="00675B4E">
        <w:rPr>
          <w:rFonts w:cstheme="minorHAnsi"/>
        </w:rPr>
        <w:t xml:space="preserve"> własność, dla której Sąd Rejonowy w Grodzisku Wielkopolskim </w:t>
      </w:r>
      <w:r w:rsidR="00990213" w:rsidRPr="00675B4E">
        <w:rPr>
          <w:rFonts w:cstheme="minorHAnsi"/>
        </w:rPr>
        <w:br/>
      </w:r>
      <w:r w:rsidR="00B42BFD" w:rsidRPr="00675B4E">
        <w:rPr>
          <w:rFonts w:cstheme="minorHAnsi"/>
        </w:rPr>
        <w:t>V Wydział Ksiąg Wieczystych prowadzi księgę wieczystą Nr PO1S/00059883/7.</w:t>
      </w:r>
      <w:r w:rsidR="00A80873">
        <w:rPr>
          <w:rFonts w:cs="Times New Roman"/>
        </w:rPr>
        <w:br/>
      </w:r>
      <w:r w:rsidR="00B42BFD" w:rsidRPr="00675B4E">
        <w:rPr>
          <w:rFonts w:cstheme="minorHAnsi"/>
        </w:rPr>
        <w:t>Z własnością lokalu niemieszkalnego nr 1  związany jest udział wynoszący ½ części w nieruchomości wspólnej, którą stanowi prawo użytkowania wieczystego działki gruntu nr 210/3 o powierzchni 1029 m</w:t>
      </w:r>
      <w:r w:rsidR="00B42BFD" w:rsidRPr="00675B4E">
        <w:rPr>
          <w:rFonts w:cstheme="minorHAnsi"/>
          <w:vertAlign w:val="superscript"/>
        </w:rPr>
        <w:t>2</w:t>
      </w:r>
      <w:r w:rsidR="00B42BFD" w:rsidRPr="00675B4E">
        <w:rPr>
          <w:rFonts w:cstheme="minorHAnsi"/>
        </w:rPr>
        <w:t xml:space="preserve"> będącej własnością Miasta </w:t>
      </w:r>
      <w:r w:rsidR="006139C3">
        <w:rPr>
          <w:rFonts w:cstheme="minorHAnsi"/>
        </w:rPr>
        <w:t>i</w:t>
      </w:r>
      <w:r w:rsidR="00B42BFD" w:rsidRPr="00675B4E">
        <w:rPr>
          <w:rFonts w:cstheme="minorHAnsi"/>
        </w:rPr>
        <w:t xml:space="preserve"> Gminy Grodzisk Wielkopolski oraz części budynku i urządzenia, które nie służą wyłącznie do użytku właścicieli lokali, dla której Sąd Rejonowy w Grodzisku Wielkopolskim V Wydział Ksiąg Wieczystych prowadzi księgę wieczystą Nr PO1S/00029365/1.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Cena wywoławcza oraz informacja o opodatkowaniu sprzedaży podatkiem VAT</w:t>
      </w:r>
    </w:p>
    <w:p w:rsidR="00D63C1F" w:rsidRPr="00675B4E" w:rsidRDefault="00D63C1F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Cena wywoławcza wynosi </w:t>
      </w:r>
      <w:r w:rsidR="00613823">
        <w:rPr>
          <w:rFonts w:cs="Times New Roman"/>
        </w:rPr>
        <w:t>493 000</w:t>
      </w:r>
      <w:r w:rsidRPr="00675B4E">
        <w:rPr>
          <w:rFonts w:cs="Times New Roman"/>
        </w:rPr>
        <w:t>,00 zł</w:t>
      </w:r>
      <w:r w:rsidR="00BF2328">
        <w:rPr>
          <w:rFonts w:cs="Times New Roman"/>
        </w:rPr>
        <w:t>otych.</w:t>
      </w:r>
      <w:r w:rsidRPr="00675B4E">
        <w:rPr>
          <w:rFonts w:cs="Times New Roman"/>
        </w:rPr>
        <w:t xml:space="preserve"> </w:t>
      </w:r>
      <w:r w:rsidR="00A80873">
        <w:rPr>
          <w:rFonts w:cs="Times New Roman"/>
        </w:rPr>
        <w:br/>
      </w:r>
      <w:r w:rsidRPr="00675B4E">
        <w:rPr>
          <w:rFonts w:cs="Times New Roman"/>
        </w:rPr>
        <w:t xml:space="preserve">(słownie: </w:t>
      </w:r>
      <w:r w:rsidR="00F17C5D" w:rsidRPr="00675B4E">
        <w:rPr>
          <w:rFonts w:cstheme="minorHAnsi"/>
        </w:rPr>
        <w:t xml:space="preserve">czterysta </w:t>
      </w:r>
      <w:r w:rsidR="00613823">
        <w:rPr>
          <w:rFonts w:cstheme="minorHAnsi"/>
        </w:rPr>
        <w:t>dziewięćdziesiąt</w:t>
      </w:r>
      <w:r w:rsidR="00F17C5D" w:rsidRPr="00675B4E">
        <w:rPr>
          <w:rFonts w:cstheme="minorHAnsi"/>
        </w:rPr>
        <w:t xml:space="preserve"> </w:t>
      </w:r>
      <w:r w:rsidR="00613823">
        <w:rPr>
          <w:rFonts w:cstheme="minorHAnsi"/>
        </w:rPr>
        <w:t>trzy</w:t>
      </w:r>
      <w:r w:rsidR="00F17C5D" w:rsidRPr="00675B4E">
        <w:rPr>
          <w:rFonts w:cstheme="minorHAnsi"/>
        </w:rPr>
        <w:t xml:space="preserve"> tysiące złotych</w:t>
      </w:r>
      <w:r w:rsidRPr="00675B4E">
        <w:rPr>
          <w:rFonts w:cs="Times New Roman"/>
        </w:rPr>
        <w:t xml:space="preserve"> </w:t>
      </w:r>
      <w:r w:rsidR="00BF2328">
        <w:rPr>
          <w:rFonts w:cs="Times New Roman"/>
        </w:rPr>
        <w:t>zero groszy</w:t>
      </w:r>
      <w:r w:rsidRPr="00675B4E">
        <w:rPr>
          <w:rFonts w:cs="Times New Roman"/>
        </w:rPr>
        <w:t>).</w:t>
      </w:r>
    </w:p>
    <w:p w:rsidR="00FD0DD3" w:rsidRDefault="00FD0DD3" w:rsidP="00293211">
      <w:pPr>
        <w:spacing w:after="0" w:line="360" w:lineRule="auto"/>
      </w:pPr>
      <w:r>
        <w:t>S</w:t>
      </w:r>
      <w:r w:rsidRPr="006514FB">
        <w:t xml:space="preserve">przedaż nieruchomości objętej przetargiem </w:t>
      </w:r>
      <w:r>
        <w:t>jest zwolniona z</w:t>
      </w:r>
      <w:r w:rsidRPr="006514FB">
        <w:t xml:space="preserve"> opodatkowani</w:t>
      </w:r>
      <w:r>
        <w:t>a</w:t>
      </w:r>
      <w:r w:rsidRPr="006514FB">
        <w:t xml:space="preserve"> podatkiem od towarów i usług.</w:t>
      </w:r>
      <w:r>
        <w:t xml:space="preserve"> </w:t>
      </w:r>
    </w:p>
    <w:p w:rsidR="00D63C1F" w:rsidRDefault="00D63C1F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Wszelkie opłaty, koszty notarialne i sądowe oraz inne koszty związane z nabyciem lokalu ponosi kupujący. </w:t>
      </w:r>
    </w:p>
    <w:p w:rsidR="00867585" w:rsidRPr="005B7399" w:rsidRDefault="00867585" w:rsidP="00867585">
      <w:pPr>
        <w:spacing w:line="360" w:lineRule="auto"/>
        <w:rPr>
          <w:color w:val="000000" w:themeColor="text1"/>
        </w:rPr>
      </w:pPr>
      <w:r w:rsidRPr="005B7399">
        <w:rPr>
          <w:color w:val="000000" w:themeColor="text1"/>
        </w:rPr>
        <w:lastRenderedPageBreak/>
        <w:t xml:space="preserve">Zakład Ubezpieczeń Społecznych dopuszcza możliwość, że </w:t>
      </w:r>
      <w:r w:rsidR="00BC6338" w:rsidRPr="005B7399">
        <w:rPr>
          <w:color w:val="000000" w:themeColor="text1"/>
        </w:rPr>
        <w:t xml:space="preserve">płatność </w:t>
      </w:r>
      <w:r w:rsidRPr="005B7399">
        <w:rPr>
          <w:color w:val="000000" w:themeColor="text1"/>
        </w:rPr>
        <w:t>cen</w:t>
      </w:r>
      <w:r w:rsidR="00BC6338" w:rsidRPr="005B7399">
        <w:rPr>
          <w:color w:val="000000" w:themeColor="text1"/>
        </w:rPr>
        <w:t>y</w:t>
      </w:r>
      <w:r w:rsidRPr="005B7399">
        <w:rPr>
          <w:color w:val="000000" w:themeColor="text1"/>
        </w:rPr>
        <w:t xml:space="preserve"> nieruchomości zostanie rozłożona maksymalnie na trzy raty, zgodnie z ofertą Wygrywającego przetarg. Kwota pierwszej raty oraz wielkość kolejnych rat, a także ich terminy płatności muszą być określone w ofercie. Zakład ustala następujące zasady płatności ceny nieruchomości:</w:t>
      </w:r>
    </w:p>
    <w:p w:rsidR="00867585" w:rsidRDefault="00867585" w:rsidP="00867585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567" w:hanging="283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6E3187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pierwsza rata w wysokości nie niższej niż 50 % ceny nieruchomości uzyskanej w wyniku przetargu płatna do dnia zawarcia umowy sprzedaży;</w:t>
      </w:r>
    </w:p>
    <w:p w:rsidR="006E3187" w:rsidRDefault="00B511C9" w:rsidP="000635A9">
      <w:pPr>
        <w:pStyle w:val="Akapitzlist"/>
        <w:numPr>
          <w:ilvl w:val="0"/>
          <w:numId w:val="2"/>
        </w:numPr>
        <w:tabs>
          <w:tab w:val="left" w:pos="0"/>
        </w:tabs>
        <w:suppressAutoHyphens/>
        <w:spacing w:line="360" w:lineRule="auto"/>
        <w:ind w:left="567" w:hanging="283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  <w:r w:rsidRPr="006E3187"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  <w:t>kolejne raty, równej wysokości, stanowiące dopełnienie do wartości 100 % ceny nieruchomości uzyskanej w wyniku przetargu, płatne wraz z oprocentowaniem według stopy procentowej równej stopie redyskonta weksli stosowanej przez Narodowy Bank Polski, w wysokości i w odstępach czasu zaproponowanych w przetargu przez oferenta nie dłuższych niż jeden rok.</w:t>
      </w:r>
    </w:p>
    <w:p w:rsidR="00867585" w:rsidRPr="006E3187" w:rsidRDefault="00B511C9" w:rsidP="006E3187">
      <w:pPr>
        <w:tabs>
          <w:tab w:val="left" w:pos="0"/>
        </w:tabs>
        <w:suppressAutoHyphens/>
        <w:spacing w:line="360" w:lineRule="auto"/>
        <w:rPr>
          <w:color w:val="000000" w:themeColor="text1"/>
        </w:rPr>
      </w:pPr>
      <w:r w:rsidRPr="006E3187">
        <w:rPr>
          <w:color w:val="000000" w:themeColor="text1"/>
        </w:rPr>
        <w:t>Wierzytelność pieniężna, o której mowa w pkt 2, wraz z ewentualnymi odsetkami zostanie zabezpieczona hipoteką ustanowioną na rzecz Zakładu Ubezpieczeń Społecznych na nieruchomości, dla której pr</w:t>
      </w:r>
      <w:r w:rsidR="006E3187">
        <w:rPr>
          <w:color w:val="000000" w:themeColor="text1"/>
        </w:rPr>
        <w:t xml:space="preserve">owadzona jest księga wieczysta </w:t>
      </w:r>
      <w:r w:rsidRPr="006E3187">
        <w:rPr>
          <w:color w:val="000000" w:themeColor="text1"/>
        </w:rPr>
        <w:t>nr PO1S/00059883/7.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Termin i miejsce składania pisemnych ofert</w:t>
      </w:r>
    </w:p>
    <w:p w:rsidR="002B0EEB" w:rsidRPr="00675B4E" w:rsidRDefault="002B0EEB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Oferty należy składać w terminie do </w:t>
      </w:r>
      <w:r w:rsidR="00613823">
        <w:rPr>
          <w:rFonts w:cs="Times New Roman"/>
        </w:rPr>
        <w:t>27</w:t>
      </w:r>
      <w:r w:rsidR="00990213" w:rsidRPr="00675B4E">
        <w:rPr>
          <w:rFonts w:cs="Times New Roman"/>
        </w:rPr>
        <w:t>.</w:t>
      </w:r>
      <w:r w:rsidR="00613823">
        <w:rPr>
          <w:rFonts w:cs="Times New Roman"/>
        </w:rPr>
        <w:t>03</w:t>
      </w:r>
      <w:r w:rsidR="003370FD">
        <w:rPr>
          <w:rFonts w:cs="Times New Roman"/>
        </w:rPr>
        <w:t>.202</w:t>
      </w:r>
      <w:r w:rsidR="00613823">
        <w:rPr>
          <w:rFonts w:cs="Times New Roman"/>
        </w:rPr>
        <w:t>3</w:t>
      </w:r>
      <w:r w:rsidR="00EC0B24">
        <w:rPr>
          <w:rFonts w:cs="Times New Roman"/>
        </w:rPr>
        <w:t xml:space="preserve"> roku do godziny</w:t>
      </w:r>
      <w:r w:rsidRPr="00675B4E">
        <w:rPr>
          <w:rFonts w:cs="Times New Roman"/>
        </w:rPr>
        <w:t xml:space="preserve"> 15.00.</w:t>
      </w:r>
    </w:p>
    <w:p w:rsidR="002B0EEB" w:rsidRPr="00675B4E" w:rsidRDefault="002B0EEB" w:rsidP="00293211">
      <w:pPr>
        <w:spacing w:after="0" w:line="360" w:lineRule="auto"/>
        <w:rPr>
          <w:rFonts w:cstheme="minorHAnsi"/>
        </w:rPr>
      </w:pPr>
      <w:r w:rsidRPr="00675B4E">
        <w:rPr>
          <w:rFonts w:cstheme="minorHAnsi"/>
        </w:rPr>
        <w:t xml:space="preserve">Oferty należy składać w siedzibie Zakładu Ubezpieczeń Społecznych, I Oddział w Poznaniu, </w:t>
      </w:r>
      <w:r w:rsidR="00990213" w:rsidRPr="00675B4E">
        <w:rPr>
          <w:rFonts w:cstheme="minorHAnsi"/>
        </w:rPr>
        <w:br/>
      </w:r>
      <w:r w:rsidRPr="00675B4E">
        <w:rPr>
          <w:rFonts w:cstheme="minorHAnsi"/>
        </w:rPr>
        <w:t xml:space="preserve">60-908 Poznań, ul. Dąbrowskiego 12, Kancelaria – parter główne wejście do budynku od dnia publikacji ogłoszenia, od poniedziałku do piątku w godzinach od 08:00 do 15:00, lub </w:t>
      </w:r>
      <w:r w:rsidR="00990213" w:rsidRPr="00675B4E">
        <w:rPr>
          <w:rFonts w:cstheme="minorHAnsi"/>
        </w:rPr>
        <w:br/>
      </w:r>
      <w:r w:rsidRPr="00675B4E">
        <w:rPr>
          <w:rFonts w:cstheme="minorHAnsi"/>
        </w:rPr>
        <w:t>za pośrednictwem Poczty Polskiej lub innego operatora.</w:t>
      </w:r>
    </w:p>
    <w:p w:rsidR="00E73D48" w:rsidRPr="00675B4E" w:rsidRDefault="002B0EEB" w:rsidP="00293211">
      <w:pPr>
        <w:spacing w:after="0" w:line="360" w:lineRule="auto"/>
      </w:pPr>
      <w:r w:rsidRPr="00675B4E">
        <w:rPr>
          <w:rFonts w:cstheme="minorHAnsi"/>
        </w:rPr>
        <w:t>W przypadku ofert złożonych za pośrednictwem Poczty Polskiej lub innego operatora za termin złożenia oferty przyjmuje się datę, w której I Oddział ZUS w Poznani</w:t>
      </w:r>
      <w:r w:rsidR="00BF2328">
        <w:rPr>
          <w:rFonts w:cstheme="minorHAnsi"/>
        </w:rPr>
        <w:t>u ofertę faktycznie otrzymał to jest</w:t>
      </w:r>
      <w:r w:rsidRPr="00675B4E">
        <w:rPr>
          <w:rFonts w:cstheme="minorHAnsi"/>
        </w:rPr>
        <w:t xml:space="preserve"> do dnia  </w:t>
      </w:r>
      <w:r w:rsidR="00613823">
        <w:rPr>
          <w:rFonts w:cstheme="minorHAnsi"/>
        </w:rPr>
        <w:t>27</w:t>
      </w:r>
      <w:r w:rsidR="00990213" w:rsidRPr="00675B4E">
        <w:rPr>
          <w:rFonts w:cstheme="minorHAnsi"/>
        </w:rPr>
        <w:t>.</w:t>
      </w:r>
      <w:r w:rsidR="00613823">
        <w:rPr>
          <w:rFonts w:cstheme="minorHAnsi"/>
        </w:rPr>
        <w:t>03.2023</w:t>
      </w:r>
      <w:r w:rsidR="00BF2328">
        <w:rPr>
          <w:rFonts w:cstheme="minorHAnsi"/>
        </w:rPr>
        <w:t xml:space="preserve"> roku do godziny</w:t>
      </w:r>
      <w:r w:rsidRPr="00675B4E">
        <w:rPr>
          <w:rFonts w:cstheme="minorHAnsi"/>
        </w:rPr>
        <w:t xml:space="preserve"> 15.00.</w:t>
      </w:r>
      <w:r w:rsidR="00E73D48" w:rsidRPr="00675B4E">
        <w:t xml:space="preserve"> 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Termin i miejsce otwarcia ofert</w:t>
      </w:r>
    </w:p>
    <w:p w:rsidR="00F17C5D" w:rsidRPr="00675B4E" w:rsidRDefault="00D63C1F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Otwarcie ofert odbędzie się w dniu </w:t>
      </w:r>
      <w:r w:rsidR="00613823">
        <w:rPr>
          <w:rFonts w:cs="Times New Roman"/>
        </w:rPr>
        <w:t>28</w:t>
      </w:r>
      <w:r w:rsidR="00990213" w:rsidRPr="00675B4E">
        <w:rPr>
          <w:rFonts w:cs="Times New Roman"/>
        </w:rPr>
        <w:t>.</w:t>
      </w:r>
      <w:r w:rsidR="00613823">
        <w:rPr>
          <w:rFonts w:cs="Times New Roman"/>
        </w:rPr>
        <w:t>03.2023</w:t>
      </w:r>
      <w:r w:rsidRPr="00675B4E">
        <w:rPr>
          <w:rFonts w:cs="Times New Roman"/>
        </w:rPr>
        <w:t xml:space="preserve"> roku o go</w:t>
      </w:r>
      <w:r w:rsidR="00EC0B24">
        <w:rPr>
          <w:rFonts w:cs="Times New Roman"/>
        </w:rPr>
        <w:t>dzinie</w:t>
      </w:r>
      <w:r w:rsidRPr="00675B4E">
        <w:rPr>
          <w:rFonts w:cs="Times New Roman"/>
        </w:rPr>
        <w:t xml:space="preserve"> </w:t>
      </w:r>
      <w:r w:rsidR="00A60729" w:rsidRPr="00675B4E">
        <w:rPr>
          <w:rFonts w:cs="Times New Roman"/>
        </w:rPr>
        <w:t>11.00</w:t>
      </w:r>
      <w:r w:rsidR="00F17C5D" w:rsidRPr="00675B4E">
        <w:rPr>
          <w:rFonts w:cs="Times New Roman"/>
        </w:rPr>
        <w:t xml:space="preserve"> </w:t>
      </w:r>
      <w:r w:rsidR="00EE7C36">
        <w:rPr>
          <w:rFonts w:cs="Times New Roman"/>
        </w:rPr>
        <w:t xml:space="preserve">w </w:t>
      </w:r>
      <w:r w:rsidR="00F17C5D" w:rsidRPr="00675B4E">
        <w:rPr>
          <w:rFonts w:cs="Times New Roman"/>
        </w:rPr>
        <w:t xml:space="preserve">siedzibie I </w:t>
      </w:r>
      <w:r w:rsidR="00AD0453" w:rsidRPr="00675B4E">
        <w:rPr>
          <w:rFonts w:cs="Times New Roman"/>
        </w:rPr>
        <w:t xml:space="preserve">Oddziału </w:t>
      </w:r>
      <w:r w:rsidRPr="00675B4E">
        <w:rPr>
          <w:rFonts w:cs="Times New Roman"/>
        </w:rPr>
        <w:t xml:space="preserve">ZUS </w:t>
      </w:r>
      <w:r w:rsidR="00A60729" w:rsidRPr="00675B4E">
        <w:rPr>
          <w:rFonts w:cs="Times New Roman"/>
        </w:rPr>
        <w:br/>
      </w:r>
      <w:r w:rsidR="00D74BA3" w:rsidRPr="00675B4E">
        <w:rPr>
          <w:rFonts w:cs="Times New Roman"/>
        </w:rPr>
        <w:t xml:space="preserve">w </w:t>
      </w:r>
      <w:r w:rsidR="00F17C5D" w:rsidRPr="00675B4E">
        <w:rPr>
          <w:rFonts w:cs="Times New Roman"/>
        </w:rPr>
        <w:t>Poznaniu</w:t>
      </w:r>
      <w:r w:rsidR="00D74BA3" w:rsidRPr="00675B4E">
        <w:rPr>
          <w:rFonts w:cs="Times New Roman"/>
        </w:rPr>
        <w:t xml:space="preserve"> przy ul. </w:t>
      </w:r>
      <w:r w:rsidR="00F17C5D" w:rsidRPr="00675B4E">
        <w:rPr>
          <w:rFonts w:cs="Times New Roman"/>
        </w:rPr>
        <w:t>Dąbrowskiego 12</w:t>
      </w:r>
      <w:r w:rsidRPr="00675B4E">
        <w:rPr>
          <w:rFonts w:cs="Times New Roman"/>
        </w:rPr>
        <w:t xml:space="preserve">, sala nr </w:t>
      </w:r>
      <w:r w:rsidR="00A60729" w:rsidRPr="00675B4E">
        <w:rPr>
          <w:rFonts w:cs="Times New Roman"/>
        </w:rPr>
        <w:t>219</w:t>
      </w:r>
      <w:r w:rsidRPr="00675B4E">
        <w:rPr>
          <w:rFonts w:cs="Times New Roman"/>
        </w:rPr>
        <w:t xml:space="preserve">. 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 xml:space="preserve">Warunki przystąpienia do przetargu </w:t>
      </w:r>
    </w:p>
    <w:p w:rsidR="00D63C1F" w:rsidRPr="00675B4E" w:rsidRDefault="00D63C1F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>Warunkiem przystąpienia do przetargu jest złożenie oferty w</w:t>
      </w:r>
      <w:r w:rsidR="006F66BA">
        <w:rPr>
          <w:rFonts w:cs="Times New Roman"/>
        </w:rPr>
        <w:t>edłu</w:t>
      </w:r>
      <w:r w:rsidRPr="00675B4E">
        <w:rPr>
          <w:rFonts w:cs="Times New Roman"/>
        </w:rPr>
        <w:t>g załączonego wzoru (załącznik nr 2 do regulaminu przetargu) oraz wniesienie wadium</w:t>
      </w:r>
      <w:r w:rsidR="00AD0453" w:rsidRPr="00675B4E">
        <w:rPr>
          <w:rFonts w:cs="Times New Roman"/>
        </w:rPr>
        <w:t>.</w:t>
      </w:r>
      <w:r w:rsidR="006F3C9B">
        <w:rPr>
          <w:rFonts w:cs="Times New Roman"/>
        </w:rPr>
        <w:br/>
      </w:r>
      <w:r w:rsidRPr="00675B4E">
        <w:rPr>
          <w:rFonts w:cs="Times New Roman"/>
        </w:rPr>
        <w:t>Złożenie oferty jest jednoznaczne z akceptacją zawartych w niej oświadczeń i zobowiązań.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lastRenderedPageBreak/>
        <w:t>Wysokość wadium oraz termin i miejsce jego wniesienia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Wadium w wysokości 24 </w:t>
      </w:r>
      <w:r w:rsidR="00613823">
        <w:rPr>
          <w:rFonts w:cs="Times New Roman"/>
        </w:rPr>
        <w:t>650</w:t>
      </w:r>
      <w:r w:rsidRPr="00675B4E">
        <w:rPr>
          <w:rFonts w:cs="Times New Roman"/>
        </w:rPr>
        <w:t>,00 zł</w:t>
      </w:r>
      <w:r w:rsidR="00BF2328">
        <w:rPr>
          <w:rFonts w:cs="Times New Roman"/>
        </w:rPr>
        <w:t>otych</w:t>
      </w:r>
      <w:r w:rsidRPr="00675B4E">
        <w:rPr>
          <w:rFonts w:cs="Times New Roman"/>
        </w:rPr>
        <w:t xml:space="preserve"> (słownie: dwadzieścia cztery tysiące </w:t>
      </w:r>
      <w:r w:rsidR="00613823">
        <w:rPr>
          <w:rFonts w:cs="Times New Roman"/>
        </w:rPr>
        <w:t>sześćset pięćdziesiąt</w:t>
      </w:r>
      <w:r w:rsidRPr="00675B4E">
        <w:rPr>
          <w:rFonts w:cs="Times New Roman"/>
        </w:rPr>
        <w:t xml:space="preserve"> </w:t>
      </w:r>
      <w:r w:rsidR="006F66BA">
        <w:rPr>
          <w:rFonts w:cs="Times New Roman"/>
        </w:rPr>
        <w:t>złotych zero groszy</w:t>
      </w:r>
      <w:r w:rsidRPr="00675B4E">
        <w:rPr>
          <w:rFonts w:cs="Times New Roman"/>
        </w:rPr>
        <w:t>) może być wnoszone wyłącznie w pieniądzu.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>Uczestnik przetargu zobowiązany jest do wniesienia wadium przed dniem upł</w:t>
      </w:r>
      <w:r w:rsidR="00553098">
        <w:rPr>
          <w:rFonts w:cs="Times New Roman"/>
        </w:rPr>
        <w:t>ywu terminu składania ofert, to jest</w:t>
      </w:r>
      <w:r w:rsidRPr="00675B4E">
        <w:rPr>
          <w:rFonts w:cs="Times New Roman"/>
        </w:rPr>
        <w:t xml:space="preserve"> do dnia </w:t>
      </w:r>
      <w:r w:rsidR="00613823">
        <w:rPr>
          <w:rFonts w:cs="Times New Roman"/>
        </w:rPr>
        <w:t>27</w:t>
      </w:r>
      <w:r w:rsidRPr="00675B4E">
        <w:rPr>
          <w:rFonts w:cs="Times New Roman"/>
        </w:rPr>
        <w:t>.</w:t>
      </w:r>
      <w:r w:rsidR="00613823">
        <w:rPr>
          <w:rFonts w:cs="Times New Roman"/>
        </w:rPr>
        <w:t>03.2023</w:t>
      </w:r>
      <w:r w:rsidR="00EC0B24">
        <w:rPr>
          <w:rFonts w:cs="Times New Roman"/>
        </w:rPr>
        <w:t xml:space="preserve"> r. do godziny</w:t>
      </w:r>
      <w:r w:rsidRPr="00675B4E">
        <w:rPr>
          <w:rFonts w:cs="Times New Roman"/>
        </w:rPr>
        <w:t xml:space="preserve"> 15.00</w:t>
      </w:r>
      <w:r w:rsidR="00BF2328">
        <w:rPr>
          <w:rFonts w:cs="Times New Roman"/>
        </w:rPr>
        <w:t>.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Wadium należy wpłacić </w:t>
      </w:r>
      <w:r w:rsidRPr="00675B4E">
        <w:t xml:space="preserve">przelewem na rachunek bankowy </w:t>
      </w:r>
      <w:r w:rsidRPr="00675B4E">
        <w:rPr>
          <w:color w:val="000000" w:themeColor="text1"/>
        </w:rPr>
        <w:t>I Oddziału ZUS w Poznaniu</w:t>
      </w:r>
      <w:r w:rsidRPr="00675B4E">
        <w:rPr>
          <w:rFonts w:cs="Times New Roman"/>
        </w:rPr>
        <w:t>: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PKO BP S.A. konto numer: </w:t>
      </w:r>
      <w:r w:rsidRPr="00675B4E">
        <w:rPr>
          <w:rFonts w:cstheme="minorHAnsi"/>
          <w:color w:val="000000" w:themeColor="text1"/>
        </w:rPr>
        <w:t>02 1020 5590 0000 0502 9250 7014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>Na przelewie należy umieścić adnotację:</w:t>
      </w:r>
    </w:p>
    <w:p w:rsidR="00ED082A" w:rsidRPr="00675B4E" w:rsidRDefault="00ED082A" w:rsidP="00293211">
      <w:pPr>
        <w:spacing w:after="0" w:line="360" w:lineRule="auto"/>
        <w:rPr>
          <w:rFonts w:cstheme="minorHAnsi"/>
        </w:rPr>
      </w:pPr>
      <w:r w:rsidRPr="00675B4E">
        <w:rPr>
          <w:rFonts w:cstheme="minorHAnsi"/>
        </w:rPr>
        <w:t>„Wadium – Przetarg sprzedaż nieruchomości Grodzisk Wielkopolski, Osiedle Wojska Polskiego 25”</w:t>
      </w:r>
    </w:p>
    <w:p w:rsidR="00D63C1F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>Wadium w formie pieniężnej musi znaleźć się na rachunku bankowym Zamawiającego przed upły</w:t>
      </w:r>
      <w:r w:rsidR="00B83A17">
        <w:rPr>
          <w:rFonts w:cs="Times New Roman"/>
        </w:rPr>
        <w:t>wem terminu składania ofert (to jest</w:t>
      </w:r>
      <w:r w:rsidRPr="00675B4E">
        <w:rPr>
          <w:rFonts w:cs="Times New Roman"/>
        </w:rPr>
        <w:t xml:space="preserve"> przed upł</w:t>
      </w:r>
      <w:r w:rsidR="006F66BA">
        <w:rPr>
          <w:rFonts w:cs="Times New Roman"/>
        </w:rPr>
        <w:t>ywem dnia i godziny wyznaczonej</w:t>
      </w:r>
      <w:r w:rsidRPr="00675B4E">
        <w:rPr>
          <w:rFonts w:cs="Times New Roman"/>
        </w:rPr>
        <w:t xml:space="preserve"> jako ostateczny termin składania ofert). 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Skutki uchylenia się od zawarcia umowy sprzedaży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>Jeżeli uczes</w:t>
      </w:r>
      <w:r w:rsidR="00B83A17">
        <w:rPr>
          <w:rFonts w:cs="Times New Roman"/>
        </w:rPr>
        <w:t>tnik, który przetarg wygrał (to jest</w:t>
      </w:r>
      <w:r w:rsidRPr="00675B4E">
        <w:rPr>
          <w:rFonts w:cs="Times New Roman"/>
        </w:rPr>
        <w:t xml:space="preserve"> podmiot ustalony jako nabywca lokalu), nie przystąpi bez usprawiedliwienia do zawarcia umowy w miejscu i terminie podanym w zawiadomieniu przekazanym p</w:t>
      </w:r>
      <w:r w:rsidR="00BF2328">
        <w:rPr>
          <w:rFonts w:cs="Times New Roman"/>
        </w:rPr>
        <w:t>rzez organizatora przetargu (to jest</w:t>
      </w:r>
      <w:r w:rsidRPr="00675B4E">
        <w:rPr>
          <w:rFonts w:cs="Times New Roman"/>
        </w:rPr>
        <w:t xml:space="preserve"> uchyli się od zawarcia umowy), zostanie to uznane za rezygnację z zakupu przedmiotu przetargu i skutkować będzie odstąpieniem organizatora od zawarcia umowy, a w konsekwencji wpłacone przez uczestnika przetargu wadium nie będzie podlegać zwrotowi.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Zastrzeżenie dot. prawa zamknięcia przetargu bez wybrania którejkolwiek z ofert</w:t>
      </w:r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t xml:space="preserve">Organizatorowi przetargu przysługuje prawo zamknięcia przetargu bez wybrania którejkolwiek </w:t>
      </w:r>
      <w:r w:rsidRPr="00675B4E">
        <w:rPr>
          <w:rFonts w:cs="Times New Roman"/>
        </w:rPr>
        <w:br/>
        <w:t>z ofert.</w:t>
      </w:r>
      <w:r w:rsidR="00314D04">
        <w:rPr>
          <w:rFonts w:cs="Times New Roman"/>
        </w:rPr>
        <w:br/>
      </w:r>
      <w:r w:rsidRPr="00675B4E">
        <w:rPr>
          <w:rFonts w:cs="Times New Roman"/>
        </w:rPr>
        <w:t>W takim przypadku organizator zwraca wniesione wadium nie później niż przed upływem 5 dni od dnia zamknięcia przetargu.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Termin i miejsce zapoznania się z regulaminem przetargu</w:t>
      </w:r>
    </w:p>
    <w:p w:rsidR="00ED082A" w:rsidRPr="00675B4E" w:rsidRDefault="00ED082A" w:rsidP="00293211">
      <w:pPr>
        <w:spacing w:after="0" w:line="360" w:lineRule="auto"/>
        <w:rPr>
          <w:rFonts w:cs="Times New Roman"/>
          <w:u w:val="single"/>
        </w:rPr>
      </w:pPr>
      <w:r w:rsidRPr="00675B4E">
        <w:rPr>
          <w:rFonts w:cs="Times New Roman"/>
        </w:rPr>
        <w:t xml:space="preserve">Szczegółowe warunki przetargu zawiera regulamin przetargu, który dostępny jest na stronie internetowej pod adresem: </w:t>
      </w:r>
      <w:hyperlink r:id="rId9" w:tooltip="kliknij aby wejść na stronę" w:history="1">
        <w:r w:rsidR="00D87866">
          <w:rPr>
            <w:rStyle w:val="Hipercze"/>
          </w:rPr>
          <w:t>Zakładka sprzedaż i wynajem nieruchomości na stronie zus.pl</w:t>
        </w:r>
      </w:hyperlink>
      <w:r w:rsidRPr="00675B4E">
        <w:t xml:space="preserve"> </w:t>
      </w:r>
      <w:r w:rsidRPr="00675B4E">
        <w:rPr>
          <w:rFonts w:cs="Times New Roman"/>
        </w:rPr>
        <w:t xml:space="preserve">oraz w siedzibie organizatora Zakładu Ubezpieczeń Społecznych, </w:t>
      </w:r>
      <w:r w:rsidR="00BF2328">
        <w:rPr>
          <w:rFonts w:cs="Times New Roman"/>
        </w:rPr>
        <w:t xml:space="preserve">I Oddział </w:t>
      </w:r>
      <w:r w:rsidRPr="00675B4E">
        <w:rPr>
          <w:rFonts w:cs="Times New Roman"/>
        </w:rPr>
        <w:t>w Poznaniu, ul. Dąbrowskiego 12  budynek B w pokoju 103 w godzinach pracy urzędu.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Informacja o wizji lokalnej</w:t>
      </w:r>
    </w:p>
    <w:p w:rsidR="00990213" w:rsidRPr="00675B4E" w:rsidRDefault="00ED082A" w:rsidP="00293211">
      <w:pPr>
        <w:spacing w:after="0" w:line="360" w:lineRule="auto"/>
      </w:pPr>
      <w:r w:rsidRPr="00675B4E">
        <w:rPr>
          <w:rFonts w:cs="Times New Roman"/>
        </w:rPr>
        <w:t xml:space="preserve">Wizji lokalnej można dokonać </w:t>
      </w:r>
      <w:r w:rsidR="006C47A0">
        <w:rPr>
          <w:rFonts w:cs="Times New Roman"/>
        </w:rPr>
        <w:t>przed przystąpieniem do przetargu</w:t>
      </w:r>
      <w:r w:rsidRPr="00675B4E">
        <w:rPr>
          <w:rFonts w:cs="Times New Roman"/>
        </w:rPr>
        <w:t>, po uprzednim uzgodnieniu term</w:t>
      </w:r>
      <w:r w:rsidR="006F3C9B">
        <w:rPr>
          <w:rFonts w:cs="Times New Roman"/>
        </w:rPr>
        <w:t xml:space="preserve">inu z </w:t>
      </w:r>
      <w:r w:rsidR="00B511C9">
        <w:rPr>
          <w:rFonts w:cs="Times New Roman"/>
        </w:rPr>
        <w:t xml:space="preserve">p. </w:t>
      </w:r>
      <w:r w:rsidR="006F3C9B">
        <w:rPr>
          <w:rFonts w:cs="Times New Roman"/>
        </w:rPr>
        <w:t xml:space="preserve">Joanną Wiśniewską tel. 61 </w:t>
      </w:r>
      <w:r w:rsidRPr="00675B4E">
        <w:rPr>
          <w:rFonts w:cs="Times New Roman"/>
        </w:rPr>
        <w:t xml:space="preserve">841 6999 e-mail: </w:t>
      </w:r>
      <w:hyperlink r:id="rId10" w:tooltip="kliknij aby wysłać wiadomość" w:history="1">
        <w:r w:rsidR="00536E34">
          <w:rPr>
            <w:rStyle w:val="Hipercze"/>
          </w:rPr>
          <w:t>kontakt Joanna Wiśniewska</w:t>
        </w:r>
      </w:hyperlink>
    </w:p>
    <w:p w:rsidR="00ED082A" w:rsidRPr="00675B4E" w:rsidRDefault="00ED082A" w:rsidP="00293211">
      <w:pPr>
        <w:spacing w:after="0" w:line="360" w:lineRule="auto"/>
        <w:rPr>
          <w:rFonts w:cs="Times New Roman"/>
        </w:rPr>
      </w:pPr>
      <w:r w:rsidRPr="00675B4E">
        <w:rPr>
          <w:rFonts w:cs="Times New Roman"/>
        </w:rPr>
        <w:lastRenderedPageBreak/>
        <w:t>od poniedziałku do piątku w godzinach od 08:00 do 14:00, w dniach pracy urzędu.</w:t>
      </w:r>
    </w:p>
    <w:p w:rsidR="00D63C1F" w:rsidRPr="00BF2328" w:rsidRDefault="00D63C1F" w:rsidP="00293211">
      <w:pPr>
        <w:pStyle w:val="Nagwek2"/>
        <w:spacing w:line="360" w:lineRule="auto"/>
      </w:pPr>
      <w:r w:rsidRPr="00BF2328">
        <w:t>Informacja o możliwości zawarcia umowy sprzedaży przez organizatora dopiero</w:t>
      </w:r>
      <w:r w:rsidR="00314D04">
        <w:t xml:space="preserve"> </w:t>
      </w:r>
      <w:r w:rsidRPr="00BF2328">
        <w:t>po uzyskaniu zgody Ministra Rodziny</w:t>
      </w:r>
      <w:r w:rsidR="00AD0453" w:rsidRPr="00BF2328">
        <w:t xml:space="preserve"> </w:t>
      </w:r>
      <w:r w:rsidRPr="00BF2328">
        <w:t>i Polityki Społecznej</w:t>
      </w:r>
    </w:p>
    <w:p w:rsidR="00ED082A" w:rsidRPr="00675B4E" w:rsidRDefault="00ED082A" w:rsidP="00293211">
      <w:pPr>
        <w:spacing w:after="0" w:line="360" w:lineRule="auto"/>
        <w:rPr>
          <w:rFonts w:cstheme="minorHAnsi"/>
        </w:rPr>
      </w:pPr>
      <w:r w:rsidRPr="00675B4E">
        <w:rPr>
          <w:rFonts w:cstheme="minorHAnsi"/>
        </w:rPr>
        <w:t>Zgodnie z art. 38 ust. 1 pkt. 1</w:t>
      </w:r>
      <w:r w:rsidR="00BF2328">
        <w:rPr>
          <w:rFonts w:cstheme="minorHAnsi"/>
        </w:rPr>
        <w:t xml:space="preserve"> ustawy z dnia 16.12.2016 roku</w:t>
      </w:r>
      <w:r w:rsidRPr="00675B4E">
        <w:rPr>
          <w:rFonts w:cstheme="minorHAnsi"/>
        </w:rPr>
        <w:t xml:space="preserve"> o zasadach zarządzania mieniem państwowym (</w:t>
      </w:r>
      <w:r w:rsidR="00EC0B24" w:rsidRPr="00880718">
        <w:rPr>
          <w:rFonts w:cstheme="minorHAnsi"/>
        </w:rPr>
        <w:t xml:space="preserve">t.j. </w:t>
      </w:r>
      <w:r w:rsidR="00AC2582" w:rsidRPr="00F82783">
        <w:t xml:space="preserve">Dz. U. </w:t>
      </w:r>
      <w:r w:rsidR="00AC2582">
        <w:t>z 2021 r. poz. 1933, z 2022 r. poz. 807, 872, 1459, 1512, 2463, z 2023 r. poz. 203</w:t>
      </w:r>
      <w:r w:rsidRPr="00675B4E">
        <w:rPr>
          <w:rFonts w:cstheme="minorHAnsi"/>
        </w:rPr>
        <w:t>) dalej jako „ustawa o mieniu”, dokonanie przez państwową osobę prawną m.in. czynności prawnej w zakresie rozporządzenia rzeczowymi aktywami trwałymi o wartości rynkowej przekraczającej kwotę 200 000 złotych wymaga zgody organu nadzorującego – Ministra Rodziny i Polityki Społecznej.  Obowiązek ten dotyczy Zakładu Ubezpieczeń Społecznych (państwowej osoby prawnej) m.in. w przypadku sprzedaży nieruchomości.</w:t>
      </w:r>
      <w:r w:rsidR="00FE6DCA">
        <w:rPr>
          <w:rFonts w:cstheme="minorHAnsi"/>
        </w:rPr>
        <w:br/>
      </w:r>
      <w:r w:rsidRPr="00675B4E">
        <w:rPr>
          <w:rFonts w:cstheme="minorHAnsi"/>
        </w:rPr>
        <w:t xml:space="preserve">W przypadku braku zgody Ministra Rodziny i Polityki Społecznej na przeniesienie prawa </w:t>
      </w:r>
      <w:r w:rsidR="00BF2328">
        <w:rPr>
          <w:rFonts w:cstheme="minorHAnsi"/>
        </w:rPr>
        <w:t>własności wyżej wskazanej</w:t>
      </w:r>
      <w:r w:rsidRPr="00675B4E">
        <w:rPr>
          <w:rFonts w:cstheme="minorHAnsi"/>
        </w:rPr>
        <w:t xml:space="preserve"> nieruchomości organizator przetargu zawiadomi wygrywającego przetarg, </w:t>
      </w:r>
      <w:r w:rsidR="00990213" w:rsidRPr="00675B4E">
        <w:rPr>
          <w:rFonts w:cstheme="minorHAnsi"/>
        </w:rPr>
        <w:br/>
      </w:r>
      <w:r w:rsidRPr="00675B4E">
        <w:rPr>
          <w:rFonts w:cstheme="minorHAnsi"/>
        </w:rPr>
        <w:t xml:space="preserve">w terminie </w:t>
      </w:r>
      <w:r w:rsidR="00C06ACC">
        <w:rPr>
          <w:rFonts w:cstheme="minorHAnsi"/>
        </w:rPr>
        <w:t>5</w:t>
      </w:r>
      <w:r w:rsidRPr="00675B4E">
        <w:rPr>
          <w:rFonts w:cstheme="minorHAnsi"/>
        </w:rPr>
        <w:t xml:space="preserve"> dni od uzyskania od Ministra informacji o braku przedmiotowej zgody. W tym samym terminie organizator zwróci wadium przelewem na rachunek bankowy uprzednio wskazany przez wygrywającego.</w:t>
      </w:r>
      <w:r w:rsidR="00FE6DCA">
        <w:rPr>
          <w:rFonts w:cstheme="minorHAnsi"/>
        </w:rPr>
        <w:br/>
      </w:r>
      <w:r w:rsidRPr="00675B4E">
        <w:rPr>
          <w:rFonts w:cstheme="minorHAnsi"/>
        </w:rPr>
        <w:t xml:space="preserve">W przypadku pozytywnego rozstrzygnięcia przetargu – uczestnik wygrywający przetarg zobowiązany jest do parafowania </w:t>
      </w:r>
      <w:r w:rsidR="00733C2A">
        <w:rPr>
          <w:rFonts w:cstheme="minorHAnsi"/>
        </w:rPr>
        <w:t xml:space="preserve">projektu </w:t>
      </w:r>
      <w:r w:rsidRPr="00675B4E">
        <w:rPr>
          <w:rFonts w:cstheme="minorHAnsi"/>
        </w:rPr>
        <w:t>umowy sprzedaży przedmiotowej</w:t>
      </w:r>
      <w:r w:rsidRPr="00675B4E">
        <w:rPr>
          <w:rFonts w:cstheme="minorHAnsi"/>
          <w:color w:val="00B050"/>
        </w:rPr>
        <w:t xml:space="preserve"> </w:t>
      </w:r>
      <w:r w:rsidRPr="00675B4E">
        <w:rPr>
          <w:rFonts w:cstheme="minorHAnsi"/>
        </w:rPr>
        <w:t>nieruchomości w formie aktu notarialnego.</w:t>
      </w:r>
      <w:r w:rsidR="00FE6DCA">
        <w:rPr>
          <w:rFonts w:cstheme="minorHAnsi"/>
        </w:rPr>
        <w:br/>
      </w:r>
      <w:r w:rsidRPr="00675B4E">
        <w:rPr>
          <w:rFonts w:cstheme="minorHAnsi"/>
        </w:rPr>
        <w:t xml:space="preserve">Organizator przetargu przygotuje projekt aktu notarialnego </w:t>
      </w:r>
      <w:r w:rsidR="00733C2A">
        <w:rPr>
          <w:rFonts w:cstheme="minorHAnsi"/>
        </w:rPr>
        <w:t xml:space="preserve">umowy </w:t>
      </w:r>
      <w:r w:rsidRPr="00675B4E">
        <w:rPr>
          <w:rFonts w:cstheme="minorHAnsi"/>
        </w:rPr>
        <w:t xml:space="preserve">sprzedaży nieruchomości, który </w:t>
      </w:r>
      <w:r w:rsidR="00990213" w:rsidRPr="00675B4E">
        <w:rPr>
          <w:rFonts w:cstheme="minorHAnsi"/>
        </w:rPr>
        <w:br/>
      </w:r>
      <w:r w:rsidRPr="00675B4E">
        <w:rPr>
          <w:rFonts w:cstheme="minorHAnsi"/>
        </w:rPr>
        <w:t xml:space="preserve">po zaparafowaniu przez obie strony umowy, zostanie wysłany z wnioskiem o wyrażenie zgody </w:t>
      </w:r>
      <w:r w:rsidR="00990213" w:rsidRPr="00675B4E">
        <w:rPr>
          <w:rFonts w:cstheme="minorHAnsi"/>
        </w:rPr>
        <w:br/>
      </w:r>
      <w:r w:rsidRPr="00675B4E">
        <w:rPr>
          <w:rFonts w:cstheme="minorHAnsi"/>
        </w:rPr>
        <w:t xml:space="preserve">na sprzedaż </w:t>
      </w:r>
      <w:r w:rsidR="00733C2A">
        <w:rPr>
          <w:rFonts w:cstheme="minorHAnsi"/>
        </w:rPr>
        <w:t xml:space="preserve">nieruchomości </w:t>
      </w:r>
      <w:r w:rsidRPr="00675B4E">
        <w:rPr>
          <w:rFonts w:cstheme="minorHAnsi"/>
        </w:rPr>
        <w:t>do Ministra Rodziny i Polityki Społecznej.</w:t>
      </w:r>
    </w:p>
    <w:p w:rsidR="00926E9F" w:rsidRPr="006F3C9B" w:rsidRDefault="00ED082A" w:rsidP="00293211">
      <w:pPr>
        <w:spacing w:after="0" w:line="360" w:lineRule="auto"/>
        <w:rPr>
          <w:rFonts w:cstheme="minorHAnsi"/>
        </w:rPr>
      </w:pPr>
      <w:r w:rsidRPr="00675B4E">
        <w:rPr>
          <w:rFonts w:cstheme="minorHAnsi"/>
        </w:rPr>
        <w:t xml:space="preserve">Przeniesienie prawa własności nieruchomości nastąpi po uzyskaniu zgody Ministra Rodziny </w:t>
      </w:r>
      <w:r w:rsidR="00990213" w:rsidRPr="00675B4E">
        <w:rPr>
          <w:rFonts w:cstheme="minorHAnsi"/>
        </w:rPr>
        <w:br/>
      </w:r>
      <w:r w:rsidRPr="00675B4E">
        <w:rPr>
          <w:rFonts w:cstheme="minorHAnsi"/>
        </w:rPr>
        <w:t>i Polityki Społecznej.</w:t>
      </w:r>
      <w:r w:rsidR="006F3C9B">
        <w:rPr>
          <w:rFonts w:cstheme="minorHAnsi"/>
        </w:rPr>
        <w:br/>
      </w:r>
      <w:r w:rsidR="00F62197" w:rsidRPr="00675B4E">
        <w:rPr>
          <w:rFonts w:cstheme="minorHAnsi"/>
          <w:szCs w:val="24"/>
        </w:rPr>
        <w:t>Lokal posiada świadectwo charakterystyki energetycznej.</w:t>
      </w:r>
    </w:p>
    <w:p w:rsidR="00293211" w:rsidRPr="006F3C9B" w:rsidRDefault="00293211">
      <w:pPr>
        <w:spacing w:after="0" w:line="360" w:lineRule="auto"/>
        <w:rPr>
          <w:rFonts w:cstheme="minorHAnsi"/>
        </w:rPr>
      </w:pPr>
    </w:p>
    <w:sectPr w:rsidR="00293211" w:rsidRPr="006F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423" w:rsidRDefault="00C24423" w:rsidP="00AD0453">
      <w:pPr>
        <w:spacing w:after="0" w:line="240" w:lineRule="auto"/>
      </w:pPr>
      <w:r>
        <w:separator/>
      </w:r>
    </w:p>
  </w:endnote>
  <w:endnote w:type="continuationSeparator" w:id="0">
    <w:p w:rsidR="00C24423" w:rsidRDefault="00C24423" w:rsidP="00AD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423" w:rsidRDefault="00C24423" w:rsidP="00AD0453">
      <w:pPr>
        <w:spacing w:after="0" w:line="240" w:lineRule="auto"/>
      </w:pPr>
      <w:r>
        <w:separator/>
      </w:r>
    </w:p>
  </w:footnote>
  <w:footnote w:type="continuationSeparator" w:id="0">
    <w:p w:rsidR="00C24423" w:rsidRDefault="00C24423" w:rsidP="00AD0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880870"/>
    <w:multiLevelType w:val="hybridMultilevel"/>
    <w:tmpl w:val="76286790"/>
    <w:lvl w:ilvl="0" w:tplc="721E4B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92FB6"/>
    <w:multiLevelType w:val="hybridMultilevel"/>
    <w:tmpl w:val="148C860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1F"/>
    <w:rsid w:val="00017D1C"/>
    <w:rsid w:val="00060FD3"/>
    <w:rsid w:val="000635A9"/>
    <w:rsid w:val="00064427"/>
    <w:rsid w:val="00090F0E"/>
    <w:rsid w:val="000B78A7"/>
    <w:rsid w:val="000C6038"/>
    <w:rsid w:val="000F51EC"/>
    <w:rsid w:val="0015067B"/>
    <w:rsid w:val="00156406"/>
    <w:rsid w:val="001C150D"/>
    <w:rsid w:val="001E7293"/>
    <w:rsid w:val="001E77D5"/>
    <w:rsid w:val="001E7B5C"/>
    <w:rsid w:val="00223278"/>
    <w:rsid w:val="00235442"/>
    <w:rsid w:val="0024273E"/>
    <w:rsid w:val="00246AD8"/>
    <w:rsid w:val="00260124"/>
    <w:rsid w:val="002634C8"/>
    <w:rsid w:val="00264269"/>
    <w:rsid w:val="00293211"/>
    <w:rsid w:val="002B0EEB"/>
    <w:rsid w:val="002C5E65"/>
    <w:rsid w:val="00302DFA"/>
    <w:rsid w:val="00314D04"/>
    <w:rsid w:val="0032276D"/>
    <w:rsid w:val="003370FD"/>
    <w:rsid w:val="00396939"/>
    <w:rsid w:val="00442E83"/>
    <w:rsid w:val="00446304"/>
    <w:rsid w:val="00446B83"/>
    <w:rsid w:val="004A7FEB"/>
    <w:rsid w:val="00512C90"/>
    <w:rsid w:val="0051606D"/>
    <w:rsid w:val="005217AC"/>
    <w:rsid w:val="00536E34"/>
    <w:rsid w:val="005452C2"/>
    <w:rsid w:val="00553098"/>
    <w:rsid w:val="00592E93"/>
    <w:rsid w:val="00597A7B"/>
    <w:rsid w:val="005A20C4"/>
    <w:rsid w:val="005B24B3"/>
    <w:rsid w:val="005B6E14"/>
    <w:rsid w:val="005B7399"/>
    <w:rsid w:val="005F0EB9"/>
    <w:rsid w:val="00613823"/>
    <w:rsid w:val="006139C3"/>
    <w:rsid w:val="00613E78"/>
    <w:rsid w:val="006303C2"/>
    <w:rsid w:val="00664FCE"/>
    <w:rsid w:val="00673D6A"/>
    <w:rsid w:val="00675B4E"/>
    <w:rsid w:val="00683CDB"/>
    <w:rsid w:val="0069541B"/>
    <w:rsid w:val="006A5604"/>
    <w:rsid w:val="006C47A0"/>
    <w:rsid w:val="006E3187"/>
    <w:rsid w:val="006E71E2"/>
    <w:rsid w:val="006F3C9B"/>
    <w:rsid w:val="006F66BA"/>
    <w:rsid w:val="006F7012"/>
    <w:rsid w:val="00733C2A"/>
    <w:rsid w:val="00773056"/>
    <w:rsid w:val="0079145E"/>
    <w:rsid w:val="00794793"/>
    <w:rsid w:val="007A5DF0"/>
    <w:rsid w:val="007C3F9A"/>
    <w:rsid w:val="007D2E5E"/>
    <w:rsid w:val="008112E1"/>
    <w:rsid w:val="00811A56"/>
    <w:rsid w:val="008241A6"/>
    <w:rsid w:val="00832E60"/>
    <w:rsid w:val="00840659"/>
    <w:rsid w:val="00867585"/>
    <w:rsid w:val="008833A2"/>
    <w:rsid w:val="00890444"/>
    <w:rsid w:val="00896B3F"/>
    <w:rsid w:val="008A74C9"/>
    <w:rsid w:val="008B15CC"/>
    <w:rsid w:val="008B2281"/>
    <w:rsid w:val="008B2757"/>
    <w:rsid w:val="008B4F99"/>
    <w:rsid w:val="00911ED7"/>
    <w:rsid w:val="00913426"/>
    <w:rsid w:val="00917435"/>
    <w:rsid w:val="00926E9F"/>
    <w:rsid w:val="00935E85"/>
    <w:rsid w:val="00937F1A"/>
    <w:rsid w:val="00943FD8"/>
    <w:rsid w:val="009731AB"/>
    <w:rsid w:val="00990213"/>
    <w:rsid w:val="009D347A"/>
    <w:rsid w:val="009F1543"/>
    <w:rsid w:val="00A0506A"/>
    <w:rsid w:val="00A60729"/>
    <w:rsid w:val="00A73073"/>
    <w:rsid w:val="00A7674B"/>
    <w:rsid w:val="00A80873"/>
    <w:rsid w:val="00AA5AD1"/>
    <w:rsid w:val="00AC13AE"/>
    <w:rsid w:val="00AC2582"/>
    <w:rsid w:val="00AD0453"/>
    <w:rsid w:val="00B42A8D"/>
    <w:rsid w:val="00B42BFD"/>
    <w:rsid w:val="00B511C9"/>
    <w:rsid w:val="00B83A17"/>
    <w:rsid w:val="00B87FC4"/>
    <w:rsid w:val="00BB48B8"/>
    <w:rsid w:val="00BC6338"/>
    <w:rsid w:val="00BE26E5"/>
    <w:rsid w:val="00BF2328"/>
    <w:rsid w:val="00C06ACC"/>
    <w:rsid w:val="00C144FC"/>
    <w:rsid w:val="00C24423"/>
    <w:rsid w:val="00C451B8"/>
    <w:rsid w:val="00C6279F"/>
    <w:rsid w:val="00C64418"/>
    <w:rsid w:val="00CF5127"/>
    <w:rsid w:val="00CF5630"/>
    <w:rsid w:val="00D02452"/>
    <w:rsid w:val="00D43932"/>
    <w:rsid w:val="00D52E70"/>
    <w:rsid w:val="00D57470"/>
    <w:rsid w:val="00D63C1F"/>
    <w:rsid w:val="00D74174"/>
    <w:rsid w:val="00D74BA3"/>
    <w:rsid w:val="00D87866"/>
    <w:rsid w:val="00DC4A46"/>
    <w:rsid w:val="00DF1EBC"/>
    <w:rsid w:val="00E243EB"/>
    <w:rsid w:val="00E6314B"/>
    <w:rsid w:val="00E71F0B"/>
    <w:rsid w:val="00E73D48"/>
    <w:rsid w:val="00E75F77"/>
    <w:rsid w:val="00EC0B24"/>
    <w:rsid w:val="00ED082A"/>
    <w:rsid w:val="00ED0B13"/>
    <w:rsid w:val="00EE5917"/>
    <w:rsid w:val="00EE7C36"/>
    <w:rsid w:val="00F17C5D"/>
    <w:rsid w:val="00F62197"/>
    <w:rsid w:val="00FB44B2"/>
    <w:rsid w:val="00FD0DD3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1F"/>
  </w:style>
  <w:style w:type="paragraph" w:styleId="Nagwek1">
    <w:name w:val="heading 1"/>
    <w:basedOn w:val="Normalny"/>
    <w:next w:val="Normalny"/>
    <w:link w:val="Nagwek1Znak"/>
    <w:uiPriority w:val="9"/>
    <w:qFormat/>
    <w:rsid w:val="00A80873"/>
    <w:pPr>
      <w:keepNext/>
      <w:keepLines/>
      <w:spacing w:after="360"/>
      <w:outlineLvl w:val="0"/>
    </w:pPr>
    <w:rPr>
      <w:rFonts w:ascii="Calibri" w:eastAsiaTheme="majorEastAsia" w:hAnsi="Calibri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0873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D63C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D63C1F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D63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7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50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53"/>
  </w:style>
  <w:style w:type="paragraph" w:styleId="Stopka">
    <w:name w:val="footer"/>
    <w:basedOn w:val="Normalny"/>
    <w:link w:val="StopkaZnak"/>
    <w:uiPriority w:val="99"/>
    <w:unhideWhenUsed/>
    <w:rsid w:val="00AD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53"/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42B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B42BFD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73D4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0873"/>
    <w:rPr>
      <w:rFonts w:ascii="Calibri" w:eastAsiaTheme="majorEastAsia" w:hAnsi="Calibri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80873"/>
    <w:rPr>
      <w:rFonts w:ascii="Calibri" w:eastAsiaTheme="majorEastAsia" w:hAnsi="Calibri" w:cstheme="majorBidi"/>
      <w:b/>
      <w:bCs/>
      <w:sz w:val="24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86758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7585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C1F"/>
  </w:style>
  <w:style w:type="paragraph" w:styleId="Nagwek1">
    <w:name w:val="heading 1"/>
    <w:basedOn w:val="Normalny"/>
    <w:next w:val="Normalny"/>
    <w:link w:val="Nagwek1Znak"/>
    <w:uiPriority w:val="9"/>
    <w:qFormat/>
    <w:rsid w:val="00A80873"/>
    <w:pPr>
      <w:keepNext/>
      <w:keepLines/>
      <w:spacing w:after="360"/>
      <w:outlineLvl w:val="0"/>
    </w:pPr>
    <w:rPr>
      <w:rFonts w:ascii="Calibri" w:eastAsiaTheme="majorEastAsia" w:hAnsi="Calibri" w:cstheme="majorBidi"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80873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bCs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D63C1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ipercze">
    <w:name w:val="Hyperlink"/>
    <w:basedOn w:val="Domylnaczcionkaakapitu"/>
    <w:uiPriority w:val="99"/>
    <w:unhideWhenUsed/>
    <w:rsid w:val="00D63C1F"/>
    <w:rPr>
      <w:color w:val="0000FF" w:themeColor="hyperlink"/>
      <w:u w:val="single"/>
    </w:rPr>
  </w:style>
  <w:style w:type="paragraph" w:customStyle="1" w:styleId="Skrconyadreszwrotny">
    <w:name w:val="Skrócony adres zwrotny"/>
    <w:basedOn w:val="Normalny"/>
    <w:rsid w:val="00D63C1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7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50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50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AD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0453"/>
  </w:style>
  <w:style w:type="paragraph" w:styleId="Stopka">
    <w:name w:val="footer"/>
    <w:basedOn w:val="Normalny"/>
    <w:link w:val="StopkaZnak"/>
    <w:uiPriority w:val="99"/>
    <w:unhideWhenUsed/>
    <w:rsid w:val="00AD0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0453"/>
  </w:style>
  <w:style w:type="paragraph" w:styleId="Akapitzlist">
    <w:name w:val="List Paragraph"/>
    <w:aliases w:val="Podsis rysunku,Normalny PDST,lp1,Preambuła,HŁ_Bullet1,L1,Numerowanie,Rozdział,T_SZ_List Paragraph,CW_Lista,Akapit z listą5,Podsis rysunku1,Normalny PDST1,lp11,Preambuła1,HŁ_Bullet11,L11,Numerowanie1,Akapit z listą51,Rozdział1"/>
    <w:basedOn w:val="Normalny"/>
    <w:link w:val="AkapitzlistZnak"/>
    <w:uiPriority w:val="34"/>
    <w:qFormat/>
    <w:rsid w:val="00B42BF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aliases w:val="Podsis rysunku Znak,Normalny PDST Znak,lp1 Znak,Preambuła Znak,HŁ_Bullet1 Znak,L1 Znak,Numerowanie Znak,Rozdział Znak,T_SZ_List Paragraph Znak,CW_Lista Znak,Akapit z listą5 Znak,Podsis rysunku1 Znak,Normalny PDST1 Znak,lp11 Znak"/>
    <w:link w:val="Akapitzlist"/>
    <w:uiPriority w:val="34"/>
    <w:qFormat/>
    <w:locked/>
    <w:rsid w:val="00B42BFD"/>
    <w:rPr>
      <w:rFonts w:ascii="Times New Roman" w:eastAsia="Times New Roman" w:hAnsi="Times New Roman" w:cs="Times New Roman"/>
      <w:sz w:val="24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E73D48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A80873"/>
    <w:rPr>
      <w:rFonts w:ascii="Calibri" w:eastAsiaTheme="majorEastAsia" w:hAnsi="Calibri" w:cstheme="majorBidi"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80873"/>
    <w:rPr>
      <w:rFonts w:ascii="Calibri" w:eastAsiaTheme="majorEastAsia" w:hAnsi="Calibri" w:cstheme="majorBidi"/>
      <w:b/>
      <w:bCs/>
      <w:sz w:val="24"/>
      <w:szCs w:val="26"/>
    </w:rPr>
  </w:style>
  <w:style w:type="paragraph" w:styleId="Tekstpodstawowy2">
    <w:name w:val="Body Text 2"/>
    <w:basedOn w:val="Normalny"/>
    <w:link w:val="Tekstpodstawowy2Znak"/>
    <w:uiPriority w:val="99"/>
    <w:unhideWhenUsed/>
    <w:rsid w:val="00867585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675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anna.wisniewska02@zus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zus.pl/o-zus/inne-ogloszenia/sprzedaz-i-wynajem-nieruchom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BA31-AC12-4A64-A02D-076746EF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7337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Konop-Płotka, Jolanta</dc:creator>
  <cp:lastModifiedBy>Marcych, Marzena</cp:lastModifiedBy>
  <cp:revision>2</cp:revision>
  <cp:lastPrinted>2021-04-07T09:57:00Z</cp:lastPrinted>
  <dcterms:created xsi:type="dcterms:W3CDTF">2023-02-17T09:51:00Z</dcterms:created>
  <dcterms:modified xsi:type="dcterms:W3CDTF">2023-02-17T09:51:00Z</dcterms:modified>
</cp:coreProperties>
</file>